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14492" w:type="dxa"/>
        <w:jc w:val="left"/>
        <w:tblInd w:w="-248" w:type="dxa"/>
        <w:tblCellMar>
          <w:top w:w="0" w:type="dxa"/>
          <w:left w:w="108" w:type="dxa"/>
          <w:bottom w:w="0" w:type="dxa"/>
          <w:right w:w="108" w:type="dxa"/>
        </w:tblCellMar>
        <w:tblLook w:noVBand="1" w:val="04a0" w:noHBand="0" w:lastColumn="0" w:firstColumn="1" w:lastRow="0" w:firstRow="1"/>
      </w:tblPr>
      <w:tblGrid>
        <w:gridCol w:w="7246"/>
        <w:gridCol w:w="7245"/>
      </w:tblGrid>
      <w:tr>
        <w:trPr>
          <w:trHeight w:val="330" w:hRule="atLeast"/>
        </w:trPr>
        <w:tc>
          <w:tcPr>
            <w:tcW w:w="14491" w:type="dxa"/>
            <w:gridSpan w:val="2"/>
            <w:tcBorders/>
            <w:shd w:color="auto" w:fill="D9D9D9" w:themeFill="background1" w:themeFillShade="d9" w:val="clear"/>
            <w:tcMar>
              <w:left w:w="108" w:type="dxa"/>
            </w:tcMar>
          </w:tcPr>
          <w:p>
            <w:pPr>
              <w:pStyle w:val="Normal"/>
              <w:spacing w:lineRule="auto" w:line="240" w:before="0" w:after="0"/>
              <w:jc w:val="center"/>
              <w:rPr>
                <w:rFonts w:cs="Calibri" w:cstheme="minorHAnsi"/>
                <w:sz w:val="28"/>
              </w:rPr>
            </w:pPr>
            <w:r>
              <w:rPr>
                <w:rFonts w:cs="Calibri" w:cstheme="minorHAnsi"/>
                <w:sz w:val="28"/>
              </w:rPr>
              <w:t>Nazwa usługi</w:t>
            </w:r>
          </w:p>
        </w:tc>
      </w:tr>
      <w:tr>
        <w:trPr>
          <w:trHeight w:val="643" w:hRule="atLeast"/>
        </w:trPr>
        <w:tc>
          <w:tcPr>
            <w:tcW w:w="14491" w:type="dxa"/>
            <w:gridSpan w:val="2"/>
            <w:tcBorders/>
            <w:shd w:fill="auto" w:val="clear"/>
            <w:tcMar>
              <w:left w:w="108" w:type="dxa"/>
            </w:tcMar>
            <w:vAlign w:val="center"/>
          </w:tcPr>
          <w:p>
            <w:pPr>
              <w:pStyle w:val="Normal"/>
              <w:jc w:val="center"/>
              <w:rPr>
                <w:rFonts w:ascii="Times New Roman" w:hAnsi="Times New Roman" w:cs="Times New Roman"/>
                <w:b/>
                <w:b/>
                <w:sz w:val="24"/>
                <w:szCs w:val="24"/>
              </w:rPr>
            </w:pPr>
            <w:r>
              <w:rPr>
                <w:rFonts w:cs="Times New Roman" w:ascii="Times New Roman" w:hAnsi="Times New Roman"/>
                <w:b/>
                <w:sz w:val="24"/>
                <w:szCs w:val="24"/>
              </w:rPr>
              <w:t>WNIOSEK O ZOBOWIĄZANIE DO LECZENIA ODWYKOWEGO</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345" w:hRule="atLeast"/>
        </w:trPr>
        <w:tc>
          <w:tcPr>
            <w:tcW w:w="14491" w:type="dxa"/>
            <w:gridSpan w:val="2"/>
            <w:tcBorders/>
            <w:shd w:color="auto" w:fill="D9D9D9" w:themeFill="background1" w:themeFillShade="d9" w:val="clear"/>
            <w:tcMar>
              <w:left w:w="108" w:type="dxa"/>
            </w:tcMar>
            <w:vAlign w:val="center"/>
          </w:tcPr>
          <w:p>
            <w:pPr>
              <w:pStyle w:val="Normal"/>
              <w:spacing w:lineRule="auto" w:line="240" w:before="0" w:after="0"/>
              <w:jc w:val="center"/>
              <w:rPr>
                <w:rFonts w:cs="Calibri" w:cstheme="minorHAnsi"/>
                <w:sz w:val="28"/>
              </w:rPr>
            </w:pPr>
            <w:r>
              <w:rPr>
                <w:rFonts w:cs="Calibri" w:cstheme="minorHAnsi"/>
                <w:sz w:val="28"/>
              </w:rPr>
              <w:t>Skrócony opis usługi – „przyjazne wprowadzenie”</w:t>
            </w:r>
          </w:p>
        </w:tc>
      </w:tr>
      <w:tr>
        <w:trPr>
          <w:trHeight w:val="772" w:hRule="atLeast"/>
        </w:trPr>
        <w:tc>
          <w:tcPr>
            <w:tcW w:w="14491" w:type="dxa"/>
            <w:gridSpan w:val="2"/>
            <w:tcBorders/>
            <w:shd w:fill="auto" w:val="clear"/>
            <w:tcMar>
              <w:left w:w="108" w:type="dxa"/>
            </w:tcMar>
            <w:vAlign w:val="center"/>
          </w:tcPr>
          <w:p>
            <w:pPr>
              <w:pStyle w:val="Normal"/>
              <w:spacing w:lineRule="auto" w:line="240" w:before="0" w:after="0"/>
              <w:jc w:val="both"/>
              <w:rPr>
                <w:rFonts w:cs="Calibri" w:cstheme="minorHAnsi"/>
                <w:b/>
                <w:b/>
                <w:sz w:val="24"/>
              </w:rPr>
            </w:pPr>
            <w:r>
              <w:rPr>
                <w:rFonts w:cs="Calibri" w:cstheme="minorHAnsi"/>
                <w:b/>
                <w:sz w:val="24"/>
              </w:rPr>
              <w:t>Jeżeli chcesz zobowiązać osobę mającą problemy z nadużywaniem alkoholu, należy złożyć wniosek o zobowiązanie do leczenia odwykowego , który zostanie poddany weryfikacji i po spełnieniu przesłanek przekazany do Sądu Rejonowego w Ełku.</w:t>
            </w:r>
          </w:p>
        </w:tc>
      </w:tr>
      <w:tr>
        <w:trPr>
          <w:trHeight w:val="414" w:hRule="atLeast"/>
        </w:trPr>
        <w:tc>
          <w:tcPr>
            <w:tcW w:w="7246" w:type="dxa"/>
            <w:tcBorders/>
            <w:shd w:color="auto" w:fill="D9D9D9" w:themeFill="background1" w:themeFillShade="d9" w:val="clear"/>
            <w:tcMar>
              <w:left w:w="108" w:type="dxa"/>
            </w:tcMar>
            <w:vAlign w:val="center"/>
          </w:tcPr>
          <w:p>
            <w:pPr>
              <w:pStyle w:val="Normal"/>
              <w:spacing w:lineRule="auto" w:line="240" w:before="0" w:after="0"/>
              <w:jc w:val="center"/>
              <w:rPr>
                <w:rFonts w:cs="Calibri" w:cstheme="minorHAnsi"/>
                <w:sz w:val="28"/>
              </w:rPr>
            </w:pPr>
            <w:r>
              <w:rPr>
                <w:rFonts w:cs="Calibri" w:cstheme="minorHAnsi"/>
                <w:sz w:val="28"/>
              </w:rPr>
              <w:t>Ważne informacje dot. sposobu realizacji usługi</w:t>
            </w:r>
          </w:p>
          <w:p>
            <w:pPr>
              <w:pStyle w:val="Normal"/>
              <w:spacing w:lineRule="auto" w:line="240" w:before="0" w:after="0"/>
              <w:jc w:val="center"/>
              <w:rPr>
                <w:rFonts w:cs="Calibri" w:cstheme="minorHAnsi"/>
                <w:sz w:val="28"/>
              </w:rPr>
            </w:pPr>
            <w:r>
              <w:rPr>
                <w:rFonts w:cs="Calibri" w:cstheme="minorHAnsi"/>
                <w:sz w:val="28"/>
              </w:rPr>
              <w:t>przez Internet</w:t>
            </w:r>
          </w:p>
        </w:tc>
        <w:tc>
          <w:tcPr>
            <w:tcW w:w="7245" w:type="dxa"/>
            <w:tcBorders/>
            <w:shd w:color="auto" w:fill="D9D9D9" w:themeFill="background1" w:themeFillShade="d9" w:val="clear"/>
            <w:tcMar>
              <w:left w:w="108" w:type="dxa"/>
            </w:tcMar>
            <w:vAlign w:val="center"/>
          </w:tcPr>
          <w:p>
            <w:pPr>
              <w:pStyle w:val="Normal"/>
              <w:spacing w:lineRule="auto" w:line="240" w:before="0" w:after="0"/>
              <w:jc w:val="center"/>
              <w:rPr>
                <w:rFonts w:cs="Calibri" w:cstheme="minorHAnsi"/>
                <w:sz w:val="28"/>
              </w:rPr>
            </w:pPr>
            <w:r>
              <w:rPr>
                <w:rFonts w:cs="Calibri" w:cstheme="minorHAnsi"/>
                <w:sz w:val="28"/>
              </w:rPr>
              <w:t>Ważne informacje dot. sposobu realizacji usługi</w:t>
            </w:r>
          </w:p>
          <w:p>
            <w:pPr>
              <w:pStyle w:val="Normal"/>
              <w:spacing w:lineRule="auto" w:line="240" w:before="0" w:after="0"/>
              <w:jc w:val="center"/>
              <w:rPr>
                <w:rFonts w:cs="Calibri" w:cstheme="minorHAnsi"/>
                <w:sz w:val="28"/>
              </w:rPr>
            </w:pPr>
            <w:r>
              <w:rPr>
                <w:rFonts w:cs="Calibri" w:cstheme="minorHAnsi"/>
                <w:sz w:val="28"/>
              </w:rPr>
              <w:t>w Urzędzie</w:t>
            </w:r>
          </w:p>
        </w:tc>
      </w:tr>
      <w:tr>
        <w:trPr>
          <w:trHeight w:val="690" w:hRule="atLeast"/>
        </w:trPr>
        <w:tc>
          <w:tcPr>
            <w:tcW w:w="7246" w:type="dxa"/>
            <w:tcBorders/>
            <w:shd w:fill="auto" w:val="clear"/>
            <w:tcMar>
              <w:left w:w="108" w:type="dxa"/>
            </w:tcMar>
            <w:vAlign w:val="center"/>
          </w:tcPr>
          <w:p>
            <w:pPr>
              <w:pStyle w:val="NormalWeb"/>
              <w:spacing w:lineRule="auto" w:line="240" w:before="280" w:after="0"/>
              <w:jc w:val="both"/>
              <w:rPr>
                <w:rFonts w:ascii="Calibri" w:hAnsi="Calibri" w:cs="Calibri" w:asciiTheme="minorHAnsi" w:cstheme="minorHAnsi" w:hAnsiTheme="minorHAnsi"/>
              </w:rPr>
            </w:pPr>
            <w:r>
              <w:rPr>
                <w:rFonts w:cs="Calibri" w:cstheme="minorHAnsi" w:ascii="Calibri" w:hAnsi="Calibri"/>
              </w:rPr>
            </w:r>
          </w:p>
        </w:tc>
        <w:tc>
          <w:tcPr>
            <w:tcW w:w="7245" w:type="dxa"/>
            <w:tcBorders/>
            <w:shd w:fill="auto" w:val="clear"/>
            <w:tcMar>
              <w:left w:w="108" w:type="dxa"/>
            </w:tcMar>
            <w:vAlign w:val="center"/>
          </w:tcPr>
          <w:p>
            <w:pPr>
              <w:pStyle w:val="Normal"/>
              <w:spacing w:lineRule="auto" w:line="240" w:before="0" w:after="0"/>
              <w:jc w:val="both"/>
              <w:rPr>
                <w:rFonts w:cs="Calibri" w:cstheme="minorHAnsi"/>
                <w:sz w:val="24"/>
              </w:rPr>
            </w:pPr>
            <w:r>
              <w:rPr>
                <w:rFonts w:cs="Calibri" w:cstheme="minorHAnsi"/>
                <w:sz w:val="24"/>
              </w:rPr>
              <w:t>Wnioski składane są tylko w Wydziale Polityki Społecznej Urzędu Miasta Ełku. Pracownik ds. profilaktyki i rozwiązywania problemów alkoholowych i narkomanii udzieli pomocy w napisaniu wniosku oraz udzieli informacji o formach potrzebnej pomocy i wsparcia dla rodziny.</w:t>
            </w:r>
          </w:p>
        </w:tc>
      </w:tr>
      <w:tr>
        <w:trPr>
          <w:trHeight w:val="346" w:hRule="atLeast"/>
        </w:trPr>
        <w:tc>
          <w:tcPr>
            <w:tcW w:w="14491" w:type="dxa"/>
            <w:gridSpan w:val="2"/>
            <w:tcBorders/>
            <w:shd w:color="auto" w:fill="D9D9D9" w:themeFill="background1" w:themeFillShade="d9" w:val="clear"/>
            <w:tcMar>
              <w:left w:w="108" w:type="dxa"/>
            </w:tcMar>
            <w:vAlign w:val="center"/>
          </w:tcPr>
          <w:p>
            <w:pPr>
              <w:pStyle w:val="Normal"/>
              <w:spacing w:lineRule="auto" w:line="240" w:before="0" w:after="0"/>
              <w:jc w:val="center"/>
              <w:rPr>
                <w:rFonts w:cs="Calibri" w:cstheme="minorHAnsi"/>
                <w:sz w:val="28"/>
              </w:rPr>
            </w:pPr>
            <w:r>
              <w:rPr>
                <w:rFonts w:cs="Calibri" w:cstheme="minorHAnsi"/>
                <w:sz w:val="28"/>
              </w:rPr>
              <w:t>Kto może złożyć wniosek</w:t>
            </w:r>
          </w:p>
        </w:tc>
      </w:tr>
      <w:tr>
        <w:trPr>
          <w:trHeight w:val="620" w:hRule="atLeast"/>
        </w:trPr>
        <w:tc>
          <w:tcPr>
            <w:tcW w:w="7246" w:type="dxa"/>
            <w:tcBorders/>
            <w:shd w:fill="auto" w:val="clear"/>
            <w:tcMar>
              <w:left w:w="108" w:type="dxa"/>
            </w:tcMar>
            <w:vAlign w:val="center"/>
          </w:tcPr>
          <w:p>
            <w:pPr>
              <w:pStyle w:val="Normal"/>
              <w:spacing w:lineRule="auto" w:line="240" w:beforeAutospacing="1" w:after="0"/>
              <w:rPr>
                <w:rFonts w:cs="Calibri" w:cstheme="minorHAnsi"/>
                <w:sz w:val="28"/>
              </w:rPr>
            </w:pPr>
            <w:r>
              <w:rPr>
                <w:rFonts w:cs="Calibri" w:cstheme="minorHAnsi"/>
                <w:sz w:val="28"/>
              </w:rPr>
            </w:r>
          </w:p>
        </w:tc>
        <w:tc>
          <w:tcPr>
            <w:tcW w:w="7245" w:type="dxa"/>
            <w:tcBorders/>
            <w:shd w:fill="auto" w:val="clear"/>
            <w:tcMar>
              <w:left w:w="108" w:type="dxa"/>
            </w:tcMar>
            <w:vAlign w:val="center"/>
          </w:tcPr>
          <w:p>
            <w:pPr>
              <w:pStyle w:val="Normal"/>
              <w:spacing w:lineRule="auto" w:line="240" w:beforeAutospacing="1" w:after="0"/>
              <w:rPr>
                <w:rFonts w:cs="Calibri" w:cstheme="minorHAnsi"/>
                <w:sz w:val="28"/>
              </w:rPr>
            </w:pPr>
            <w:r>
              <w:rPr>
                <w:rFonts w:cs="Calibri" w:cstheme="minorHAnsi" w:ascii="Times New Roman" w:hAnsi="Times New Roman"/>
                <w:sz w:val="24"/>
                <w:szCs w:val="24"/>
              </w:rPr>
              <w:t>Wniosek może złożyć dowolna osoba (członek rodziny, sąsiad, daleki krewny itp.) lub instytucja (zakład pracy, pomoc społeczna, Policja, Prokuratura), która wie o osobie nadużywającej alkoholu i powodującej</w:t>
            </w:r>
            <w:r>
              <w:rPr>
                <w:rFonts w:cs="Calibri" w:cstheme="minorHAnsi" w:ascii="Times New Roman" w:hAnsi="Times New Roman"/>
                <w:sz w:val="24"/>
                <w:szCs w:val="24"/>
                <w:u w:val="single"/>
              </w:rPr>
              <w:t xml:space="preserve"> </w:t>
            </w:r>
            <w:r>
              <w:rPr>
                <w:rFonts w:cs="Calibri" w:cstheme="minorHAnsi" w:ascii="Times New Roman" w:hAnsi="Times New Roman"/>
                <w:sz w:val="24"/>
                <w:szCs w:val="24"/>
              </w:rPr>
              <w:t>rozkład życia rodzinnego, demoralizację małoletnich, uchylającej się od obowiązku zaspokajania potrzeb rodziny,albo systematycznie zakłócającej spokój lub porządek publiczny (art. 24 ustawy o wychowaniu w trzeźwości  i przeciwdziałaniu alkoholizmowi).</w:t>
            </w:r>
            <w:r>
              <w:rPr>
                <w:rFonts w:cs="Calibri" w:cstheme="minorHAnsi"/>
                <w:sz w:val="28"/>
              </w:rPr>
              <w:t xml:space="preserve"> </w:t>
            </w:r>
          </w:p>
        </w:tc>
      </w:tr>
      <w:tr>
        <w:trPr>
          <w:trHeight w:val="334" w:hRule="atLeast"/>
        </w:trPr>
        <w:tc>
          <w:tcPr>
            <w:tcW w:w="14491" w:type="dxa"/>
            <w:gridSpan w:val="2"/>
            <w:tcBorders/>
            <w:shd w:color="auto" w:fill="D9D9D9" w:themeFill="background1" w:themeFillShade="d9" w:val="clear"/>
            <w:tcMar>
              <w:left w:w="108" w:type="dxa"/>
            </w:tcMar>
            <w:vAlign w:val="center"/>
          </w:tcPr>
          <w:p>
            <w:pPr>
              <w:pStyle w:val="Normal"/>
              <w:spacing w:lineRule="auto" w:line="240" w:before="0" w:after="0"/>
              <w:jc w:val="center"/>
              <w:rPr>
                <w:rFonts w:cs="Calibri" w:cstheme="minorHAnsi"/>
                <w:sz w:val="28"/>
              </w:rPr>
            </w:pPr>
            <w:r>
              <w:rPr>
                <w:rFonts w:cs="Calibri" w:cstheme="minorHAnsi"/>
                <w:sz w:val="28"/>
              </w:rPr>
              <w:t>Co musisz przygotować</w:t>
            </w:r>
          </w:p>
        </w:tc>
      </w:tr>
      <w:tr>
        <w:trPr>
          <w:trHeight w:val="647" w:hRule="atLeast"/>
        </w:trPr>
        <w:tc>
          <w:tcPr>
            <w:tcW w:w="7246" w:type="dxa"/>
            <w:tcBorders/>
            <w:shd w:fill="auto" w:val="clear"/>
            <w:tcMar>
              <w:left w:w="108" w:type="dxa"/>
            </w:tcMar>
            <w:vAlign w:val="center"/>
          </w:tcPr>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7245" w:type="dxa"/>
            <w:tcBorders/>
            <w:shd w:fill="auto" w:val="clear"/>
            <w:tcMar>
              <w:left w:w="108" w:type="dxa"/>
            </w:tcMar>
            <w:vAlign w:val="center"/>
          </w:tcPr>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Wypełnić wniosek o zobowiązanie do leczenia odwykowego ( w załączeniu)</w:t>
            </w:r>
          </w:p>
        </w:tc>
      </w:tr>
      <w:tr>
        <w:trPr>
          <w:trHeight w:val="370" w:hRule="atLeast"/>
        </w:trPr>
        <w:tc>
          <w:tcPr>
            <w:tcW w:w="14491" w:type="dxa"/>
            <w:gridSpan w:val="2"/>
            <w:tcBorders/>
            <w:shd w:color="auto" w:fill="D9D9D9" w:themeFill="background1" w:themeFillShade="d9" w:val="clear"/>
            <w:tcMar>
              <w:left w:w="108" w:type="dxa"/>
            </w:tcMar>
            <w:vAlign w:val="center"/>
          </w:tcPr>
          <w:p>
            <w:pPr>
              <w:pStyle w:val="Normal"/>
              <w:spacing w:lineRule="auto" w:line="240" w:beforeAutospacing="1" w:after="0"/>
              <w:jc w:val="center"/>
              <w:rPr>
                <w:rFonts w:eastAsia="Times New Roman" w:cs="Calibri" w:cstheme="minorHAnsi"/>
                <w:sz w:val="28"/>
                <w:szCs w:val="24"/>
                <w:lang w:eastAsia="pl-PL"/>
              </w:rPr>
            </w:pPr>
            <w:r>
              <w:rPr>
                <w:rFonts w:eastAsia="Times New Roman" w:cs="Calibri" w:cstheme="minorHAnsi"/>
                <w:sz w:val="28"/>
                <w:szCs w:val="24"/>
                <w:lang w:eastAsia="pl-PL"/>
              </w:rPr>
              <w:t>Kiedy zgłaszasz</w:t>
            </w:r>
          </w:p>
        </w:tc>
      </w:tr>
      <w:tr>
        <w:trPr>
          <w:trHeight w:val="591" w:hRule="atLeast"/>
        </w:trPr>
        <w:tc>
          <w:tcPr>
            <w:tcW w:w="7246" w:type="dxa"/>
            <w:tcBorders/>
            <w:shd w:fill="auto" w:val="clear"/>
            <w:tcMar>
              <w:left w:w="108" w:type="dxa"/>
            </w:tcMar>
            <w:vAlign w:val="center"/>
          </w:tcPr>
          <w:p>
            <w:pPr>
              <w:pStyle w:val="NormalWeb"/>
              <w:spacing w:lineRule="auto" w:line="240" w:before="280" w:after="0"/>
              <w:rPr/>
            </w:pPr>
            <w:r>
              <w:rPr/>
            </w:r>
          </w:p>
        </w:tc>
        <w:tc>
          <w:tcPr>
            <w:tcW w:w="7245" w:type="dxa"/>
            <w:tcBorders/>
            <w:shd w:fill="auto" w:val="clear"/>
            <w:tcMar>
              <w:left w:w="108" w:type="dxa"/>
            </w:tcMar>
            <w:vAlign w:val="center"/>
          </w:tcPr>
          <w:p>
            <w:pPr>
              <w:pStyle w:val="NormalWeb"/>
              <w:spacing w:lineRule="auto" w:line="240" w:before="280" w:after="0"/>
              <w:rPr/>
            </w:pPr>
            <w:r>
              <w:rPr/>
              <w:t>Wnioski przyjmowane są przez cały rok.</w:t>
            </w:r>
          </w:p>
        </w:tc>
      </w:tr>
      <w:tr>
        <w:trPr>
          <w:trHeight w:val="425" w:hRule="atLeast"/>
        </w:trPr>
        <w:tc>
          <w:tcPr>
            <w:tcW w:w="14491" w:type="dxa"/>
            <w:gridSpan w:val="2"/>
            <w:tcBorders/>
            <w:shd w:color="auto" w:fill="D9D9D9" w:themeFill="background1" w:themeFillShade="d9" w:val="clear"/>
            <w:tcMar>
              <w:left w:w="108" w:type="dxa"/>
            </w:tcMar>
            <w:vAlign w:val="center"/>
          </w:tcPr>
          <w:p>
            <w:pPr>
              <w:pStyle w:val="NormalWeb"/>
              <w:spacing w:lineRule="auto" w:line="240" w:before="280" w:after="0"/>
              <w:jc w:val="center"/>
              <w:rPr>
                <w:rFonts w:ascii="Calibri" w:hAnsi="Calibri" w:cs="Calibri" w:asciiTheme="minorHAnsi" w:cstheme="minorHAnsi" w:hAnsiTheme="minorHAnsi"/>
                <w:sz w:val="28"/>
              </w:rPr>
            </w:pPr>
            <w:r>
              <w:rPr>
                <w:rFonts w:cs="Calibri" w:ascii="Calibri" w:hAnsi="Calibri" w:asciiTheme="minorHAnsi" w:cstheme="minorHAnsi" w:hAnsiTheme="minorHAnsi"/>
                <w:sz w:val="28"/>
              </w:rPr>
              <w:t>Ile zapłacisz</w:t>
            </w:r>
          </w:p>
        </w:tc>
      </w:tr>
      <w:tr>
        <w:trPr>
          <w:trHeight w:val="651" w:hRule="atLeast"/>
        </w:trPr>
        <w:tc>
          <w:tcPr>
            <w:tcW w:w="7246" w:type="dxa"/>
            <w:tcBorders/>
            <w:shd w:fill="auto" w:val="clear"/>
            <w:tcMar>
              <w:left w:w="108" w:type="dxa"/>
            </w:tcMar>
            <w:vAlign w:val="center"/>
          </w:tcPr>
          <w:p>
            <w:pPr>
              <w:pStyle w:val="NormalWeb"/>
              <w:spacing w:lineRule="auto" w:line="240" w:before="280" w:after="0"/>
              <w:rPr/>
            </w:pPr>
            <w:r>
              <w:rPr/>
            </w:r>
          </w:p>
        </w:tc>
        <w:tc>
          <w:tcPr>
            <w:tcW w:w="7245" w:type="dxa"/>
            <w:tcBorders/>
            <w:shd w:fill="auto" w:val="clear"/>
            <w:tcMar>
              <w:left w:w="108" w:type="dxa"/>
            </w:tcMar>
            <w:vAlign w:val="center"/>
          </w:tcPr>
          <w:p>
            <w:pPr>
              <w:pStyle w:val="NormalWeb"/>
              <w:spacing w:lineRule="auto" w:line="240" w:before="280" w:after="0"/>
              <w:rPr/>
            </w:pPr>
            <w:r>
              <w:rPr/>
              <w:t>Wnioski o zobowiązania do leczenia odwykowego nie podlegają opłacie</w:t>
            </w:r>
          </w:p>
        </w:tc>
      </w:tr>
      <w:tr>
        <w:trPr>
          <w:trHeight w:val="343" w:hRule="atLeast"/>
        </w:trPr>
        <w:tc>
          <w:tcPr>
            <w:tcW w:w="14491" w:type="dxa"/>
            <w:gridSpan w:val="2"/>
            <w:tcBorders/>
            <w:shd w:color="auto" w:fill="D9D9D9" w:themeFill="background1" w:themeFillShade="d9" w:val="clear"/>
            <w:tcMar>
              <w:left w:w="108" w:type="dxa"/>
            </w:tcMar>
            <w:vAlign w:val="center"/>
          </w:tcPr>
          <w:p>
            <w:pPr>
              <w:pStyle w:val="NormalWeb"/>
              <w:spacing w:lineRule="auto" w:line="240" w:before="280" w:after="0"/>
              <w:jc w:val="center"/>
              <w:rPr>
                <w:rFonts w:ascii="Calibri" w:hAnsi="Calibri" w:cs="Calibri" w:asciiTheme="minorHAnsi" w:cstheme="minorHAnsi" w:hAnsiTheme="minorHAnsi"/>
                <w:sz w:val="28"/>
              </w:rPr>
            </w:pPr>
            <w:r>
              <w:rPr>
                <w:rFonts w:cs="Calibri" w:ascii="Calibri" w:hAnsi="Calibri" w:asciiTheme="minorHAnsi" w:cstheme="minorHAnsi" w:hAnsiTheme="minorHAnsi"/>
                <w:sz w:val="28"/>
              </w:rPr>
              <w:t>Co musisz zrobić</w:t>
            </w:r>
          </w:p>
        </w:tc>
      </w:tr>
      <w:tr>
        <w:trPr>
          <w:trHeight w:val="961" w:hRule="atLeast"/>
        </w:trPr>
        <w:tc>
          <w:tcPr>
            <w:tcW w:w="7246" w:type="dxa"/>
            <w:tcBorders/>
            <w:shd w:fill="auto" w:val="clear"/>
            <w:tcMar>
              <w:left w:w="108" w:type="dxa"/>
            </w:tcMar>
            <w:vAlign w:val="center"/>
          </w:tcPr>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7245" w:type="dxa"/>
            <w:tcBorders/>
            <w:shd w:fill="auto" w:val="clear"/>
            <w:tcMar>
              <w:left w:w="108" w:type="dxa"/>
            </w:tcMar>
            <w:vAlign w:val="center"/>
          </w:tcPr>
          <w:p>
            <w:pPr>
              <w:pStyle w:val="NormalWeb"/>
              <w:spacing w:lineRule="auto" w:line="240" w:beforeAutospacing="0" w:before="0" w:afterAutospacing="0" w:after="0"/>
              <w:rPr/>
            </w:pPr>
            <w:r>
              <w:rPr/>
              <w:t xml:space="preserve">1. Warunkiem uruchomienia procedury jest złożenie wniosku (wzór w załączeniu) przez dowolną osobę lub instytucję, w Wydziale Polityki Społecznej Urzędu Miasta Ełk do Miejskiej Komisji Rozwiązywania Problemów Alkoholowych. </w:t>
            </w:r>
          </w:p>
        </w:tc>
      </w:tr>
      <w:tr>
        <w:trPr>
          <w:trHeight w:val="424" w:hRule="atLeast"/>
        </w:trPr>
        <w:tc>
          <w:tcPr>
            <w:tcW w:w="14491" w:type="dxa"/>
            <w:gridSpan w:val="2"/>
            <w:tcBorders/>
            <w:shd w:color="auto" w:fill="D9D9D9" w:themeFill="background1" w:themeFillShade="d9" w:val="clear"/>
            <w:tcMar>
              <w:left w:w="108" w:type="dxa"/>
            </w:tcMar>
            <w:vAlign w:val="center"/>
          </w:tcPr>
          <w:p>
            <w:pPr>
              <w:pStyle w:val="NormalWeb"/>
              <w:spacing w:lineRule="auto" w:line="240" w:before="280" w:after="0"/>
              <w:jc w:val="center"/>
              <w:rPr>
                <w:rFonts w:ascii="Calibri" w:hAnsi="Calibri" w:cs="Calibri" w:asciiTheme="minorHAnsi" w:cstheme="minorHAnsi" w:hAnsiTheme="minorHAnsi"/>
                <w:sz w:val="28"/>
              </w:rPr>
            </w:pPr>
            <w:r>
              <w:rPr>
                <w:rFonts w:cs="Calibri" w:ascii="Calibri" w:hAnsi="Calibri" w:asciiTheme="minorHAnsi" w:cstheme="minorHAnsi" w:hAnsiTheme="minorHAnsi"/>
                <w:sz w:val="28"/>
              </w:rPr>
              <w:t>Ile będziesz czekać</w:t>
            </w:r>
          </w:p>
        </w:tc>
      </w:tr>
      <w:tr>
        <w:trPr>
          <w:trHeight w:val="771" w:hRule="atLeast"/>
        </w:trPr>
        <w:tc>
          <w:tcPr>
            <w:tcW w:w="7246" w:type="dxa"/>
            <w:tcBorders/>
            <w:shd w:fill="auto" w:val="clear"/>
            <w:tcMar>
              <w:left w:w="108" w:type="dxa"/>
            </w:tcMar>
            <w:vAlign w:val="center"/>
          </w:tcPr>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7245" w:type="dxa"/>
            <w:tcBorders/>
            <w:shd w:fill="auto" w:val="clear"/>
            <w:tcMar>
              <w:left w:w="108" w:type="dxa"/>
            </w:tcMar>
            <w:vAlign w:val="center"/>
          </w:tcPr>
          <w:p>
            <w:pPr>
              <w:pStyle w:val="NormalWeb"/>
              <w:spacing w:lineRule="auto" w:line="240" w:before="280" w:after="0"/>
              <w:rPr/>
            </w:pPr>
            <w:r>
              <w:rPr/>
            </w:r>
          </w:p>
        </w:tc>
      </w:tr>
      <w:tr>
        <w:trPr>
          <w:trHeight w:val="771" w:hRule="atLeast"/>
        </w:trPr>
        <w:tc>
          <w:tcPr>
            <w:tcW w:w="14491" w:type="dxa"/>
            <w:gridSpan w:val="2"/>
            <w:tcBorders/>
            <w:shd w:color="auto" w:fill="A6A6A6" w:themeFill="background1" w:themeFillShade="a6" w:val="clear"/>
            <w:tcMar>
              <w:left w:w="108" w:type="dxa"/>
            </w:tcMar>
            <w:vAlign w:val="center"/>
          </w:tcPr>
          <w:p>
            <w:pPr>
              <w:pStyle w:val="NormalWeb"/>
              <w:spacing w:lineRule="auto" w:line="240" w:beforeAutospacing="0" w:before="0" w:afterAutospacing="0" w:after="0"/>
              <w:jc w:val="center"/>
              <w:rPr>
                <w:b/>
                <w:b/>
              </w:rPr>
            </w:pPr>
            <w:r>
              <w:rPr>
                <w:b/>
              </w:rPr>
              <w:t>WAŻNE INFORMACJE DOTYCZĄCE KONKRETNEJ SPRAWY</w:t>
            </w:r>
          </w:p>
          <w:p>
            <w:pPr>
              <w:pStyle w:val="NormalWeb"/>
              <w:spacing w:lineRule="auto" w:line="240" w:beforeAutospacing="0" w:before="0" w:afterAutospacing="0" w:after="0"/>
              <w:jc w:val="center"/>
              <w:rPr>
                <w:b/>
                <w:b/>
              </w:rPr>
            </w:pPr>
            <w:r>
              <w:rPr>
                <w:b/>
              </w:rPr>
              <w:t>(ważne z punktu widzenia klienta)</w:t>
            </w:r>
          </w:p>
        </w:tc>
      </w:tr>
      <w:tr>
        <w:trPr>
          <w:trHeight w:val="404" w:hRule="atLeast"/>
        </w:trPr>
        <w:tc>
          <w:tcPr>
            <w:tcW w:w="14491" w:type="dxa"/>
            <w:gridSpan w:val="2"/>
            <w:tcBorders/>
            <w:shd w:color="auto" w:fill="D9D9D9" w:themeFill="background1" w:themeFillShade="d9" w:val="clear"/>
            <w:tcMar>
              <w:left w:w="108" w:type="dxa"/>
            </w:tcMar>
            <w:vAlign w:val="center"/>
          </w:tcPr>
          <w:p>
            <w:pPr>
              <w:pStyle w:val="NormalWeb"/>
              <w:spacing w:lineRule="auto" w:line="240" w:before="280" w:after="0"/>
              <w:jc w:val="center"/>
              <w:rPr>
                <w:rFonts w:ascii="Calibri" w:hAnsi="Calibri" w:cs="Calibri" w:asciiTheme="minorHAnsi" w:cstheme="minorHAnsi" w:hAnsiTheme="minorHAnsi"/>
                <w:sz w:val="28"/>
              </w:rPr>
            </w:pPr>
            <w:r>
              <w:rPr>
                <w:rFonts w:cs="Calibri" w:cstheme="minorHAnsi" w:ascii="Calibri" w:hAnsi="Calibri"/>
                <w:sz w:val="28"/>
              </w:rPr>
              <w:t>Procedura zobowiązania do leczenia odwykowego</w:t>
            </w:r>
          </w:p>
        </w:tc>
      </w:tr>
      <w:tr>
        <w:trPr>
          <w:trHeight w:val="685" w:hRule="atLeast"/>
        </w:trPr>
        <w:tc>
          <w:tcPr>
            <w:tcW w:w="7246" w:type="dxa"/>
            <w:tcBorders/>
            <w:shd w:color="auto" w:fill="FFFFFF" w:themeFill="background1" w:val="clear"/>
            <w:tcMar>
              <w:left w:w="108" w:type="dxa"/>
            </w:tcMar>
            <w:vAlign w:val="center"/>
          </w:tcPr>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7245" w:type="dxa"/>
            <w:tcBorders/>
            <w:shd w:color="auto" w:fill="FFFFFF" w:themeFill="background1" w:val="clear"/>
            <w:tcMar>
              <w:left w:w="108" w:type="dxa"/>
            </w:tcMar>
            <w:vAlign w:val="center"/>
          </w:tcPr>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 Warunkiem uruchomienia procedury jest złożenie wniosku (wzór w załączeniu) przez dowolną osobę lub instytucję, w Wydziale Polityki Społecznej Urzędu Miasta Ełk do Miejskiej Komisji Rozwiązywania Problemów Alkoholowych. </w:t>
            </w:r>
          </w:p>
          <w:p>
            <w:pPr>
              <w:pStyle w:val="Normal"/>
              <w:spacing w:before="0" w:after="0"/>
              <w:rPr>
                <w:rFonts w:ascii="Times New Roman" w:hAnsi="Times New Roman"/>
                <w:sz w:val="24"/>
                <w:szCs w:val="24"/>
              </w:rPr>
            </w:pPr>
            <w:r>
              <w:rPr>
                <w:rFonts w:ascii="Times New Roman" w:hAnsi="Times New Roman"/>
                <w:sz w:val="24"/>
                <w:szCs w:val="24"/>
              </w:rPr>
              <w:t>Wniosek może złożyć dowolna osoba (członek rodziny, sąsiad, daleki krewny itp.) lub instytucja (zakład pracy, pomoc społeczna, Policja, Prokuratura), która wie o osobie nadużywającej alkoholu i powodującej</w:t>
            </w:r>
            <w:r>
              <w:rPr>
                <w:rFonts w:ascii="Times New Roman" w:hAnsi="Times New Roman"/>
                <w:sz w:val="24"/>
                <w:szCs w:val="24"/>
                <w:u w:val="single"/>
              </w:rPr>
              <w:t xml:space="preserve"> </w:t>
            </w:r>
            <w:r>
              <w:rPr>
                <w:rFonts w:ascii="Times New Roman" w:hAnsi="Times New Roman"/>
                <w:sz w:val="24"/>
                <w:szCs w:val="24"/>
              </w:rPr>
              <w:t>rozkład życia rodzinnego, demoralizację małoletnich, uchylającej się od obowiązku zaspokajania potrzeb rodziny,albo systematycznie zakłócającej spokój lub porządek publiczny (art. 24 ustawy o wychowaniu w trzeźwości  i przeciwdziałaniu alkoholizmowi).</w:t>
            </w:r>
          </w:p>
          <w:p>
            <w:pPr>
              <w:pStyle w:val="Normal"/>
              <w:spacing w:before="0" w:after="0"/>
              <w:rPr>
                <w:rFonts w:ascii="Times New Roman" w:hAnsi="Times New Roman"/>
                <w:sz w:val="24"/>
                <w:szCs w:val="24"/>
              </w:rPr>
            </w:pPr>
            <w:r>
              <w:rPr>
                <w:rFonts w:ascii="Times New Roman" w:hAnsi="Times New Roman"/>
                <w:sz w:val="24"/>
                <w:szCs w:val="24"/>
              </w:rPr>
              <w:t>2. Po rozpatrzeniu wniosku pod względem formalno – prawnym następuje:</w:t>
            </w:r>
          </w:p>
          <w:p>
            <w:pPr>
              <w:pStyle w:val="Normal"/>
              <w:spacing w:before="0" w:after="0"/>
              <w:rPr>
                <w:rFonts w:ascii="Times New Roman" w:hAnsi="Times New Roman"/>
                <w:sz w:val="24"/>
                <w:szCs w:val="24"/>
              </w:rPr>
            </w:pPr>
            <w:r>
              <w:rPr>
                <w:rFonts w:ascii="Times New Roman" w:hAnsi="Times New Roman"/>
                <w:sz w:val="24"/>
                <w:szCs w:val="24"/>
              </w:rPr>
              <w:t>- wezwanie na rozmowę motywacyjną</w:t>
            </w:r>
          </w:p>
          <w:p>
            <w:pPr>
              <w:pStyle w:val="Normal"/>
              <w:spacing w:before="0" w:after="0"/>
              <w:rPr>
                <w:rFonts w:ascii="Times New Roman" w:hAnsi="Times New Roman"/>
                <w:sz w:val="24"/>
                <w:szCs w:val="24"/>
              </w:rPr>
            </w:pPr>
            <w:r>
              <w:rPr>
                <w:rFonts w:ascii="Times New Roman" w:hAnsi="Times New Roman"/>
                <w:sz w:val="24"/>
                <w:szCs w:val="24"/>
              </w:rPr>
              <w:t>- skierowanie osoby na badanie przez biegłych (psycholog i psychiatra), w celu wydania opinii w przedmiocie uzależnienia od alkoholu.</w:t>
            </w:r>
          </w:p>
          <w:p>
            <w:pPr>
              <w:pStyle w:val="Normal"/>
              <w:spacing w:before="0" w:after="0"/>
              <w:rPr>
                <w:rFonts w:ascii="Times New Roman" w:hAnsi="Times New Roman"/>
                <w:sz w:val="24"/>
                <w:szCs w:val="24"/>
              </w:rPr>
            </w:pPr>
            <w:r>
              <w:rPr>
                <w:rFonts w:ascii="Times New Roman" w:hAnsi="Times New Roman"/>
                <w:sz w:val="24"/>
                <w:szCs w:val="24"/>
              </w:rPr>
              <w:t>3. przygotowanie dokumentacji związanej z postępowaniem sądowym wraz z opinią wydaną przez biegłego (do dokumentacji należą m.in.: opinie wydane przez biegłych, protokoły z rozmów z osobami zgłaszającymi do komisji przypadek nadużywania alkoholu i osobą uzależnioną od alkoholu, policji)</w:t>
            </w:r>
          </w:p>
          <w:p>
            <w:pPr>
              <w:pStyle w:val="Normal"/>
              <w:spacing w:before="0" w:after="0"/>
              <w:rPr>
                <w:rFonts w:ascii="Times New Roman" w:hAnsi="Times New Roman"/>
                <w:sz w:val="24"/>
                <w:szCs w:val="24"/>
              </w:rPr>
            </w:pPr>
            <w:r>
              <w:rPr>
                <w:rFonts w:ascii="Times New Roman" w:hAnsi="Times New Roman"/>
                <w:sz w:val="24"/>
                <w:szCs w:val="24"/>
              </w:rPr>
              <w:t>Jeśli osoba wezwana nie zgłosi się na badanie przez biegłych (wezwanie wysyłane listem poleconym, potwierdzenie odbioru, dwukrotnie awizowane przez Pocztę) bądź nie zgodzi się na leczenie dobrowolnie, następuje skierowanie wniosku do sądu rejonowego o doprowadzenie przez policję na badanie przez biegłych (psycholog i psychiatra), w celu wydania opinii w przedmiocie uzależnienia od alkoholu.</w:t>
            </w:r>
          </w:p>
          <w:p>
            <w:pPr>
              <w:pStyle w:val="Normal"/>
              <w:spacing w:before="0" w:after="0"/>
              <w:rPr>
                <w:rFonts w:ascii="Times New Roman" w:hAnsi="Times New Roman"/>
                <w:sz w:val="24"/>
                <w:szCs w:val="24"/>
              </w:rPr>
            </w:pPr>
            <w:r>
              <w:rPr>
                <w:rFonts w:ascii="Times New Roman" w:hAnsi="Times New Roman"/>
                <w:sz w:val="24"/>
                <w:szCs w:val="24"/>
              </w:rPr>
              <w:t>4. O zastosowaniu obowiązku poddania się leczeniu w zakładzie lecznictwa odwykowego orzeka sąd rejonowy właściwy według miejsca zamieszkania lub pobytu osoby, której postępowanie dotyczy, w postępowaniu nieprocesowym.</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r>
      <w:tr>
        <w:trPr>
          <w:trHeight w:val="404" w:hRule="atLeast"/>
        </w:trPr>
        <w:tc>
          <w:tcPr>
            <w:tcW w:w="14491" w:type="dxa"/>
            <w:gridSpan w:val="2"/>
            <w:tcBorders/>
            <w:shd w:color="auto" w:fill="D9D9D9" w:themeFill="background1" w:themeFillShade="d9" w:val="clear"/>
            <w:tcMar>
              <w:left w:w="108" w:type="dxa"/>
            </w:tcMar>
            <w:vAlign w:val="center"/>
          </w:tcPr>
          <w:p>
            <w:pPr>
              <w:pStyle w:val="NormalWeb"/>
              <w:spacing w:lineRule="auto" w:line="240" w:before="280" w:after="0"/>
              <w:jc w:val="center"/>
              <w:rPr>
                <w:rFonts w:ascii="Times New Roman" w:hAnsi="Times New Roman" w:cs="Calibri" w:cstheme="minorHAnsi"/>
                <w:sz w:val="24"/>
                <w:szCs w:val="24"/>
              </w:rPr>
            </w:pPr>
            <w:r>
              <w:rPr>
                <w:rFonts w:cs="Calibri" w:cstheme="minorHAnsi" w:ascii="Times New Roman" w:hAnsi="Times New Roman"/>
                <w:sz w:val="24"/>
                <w:szCs w:val="24"/>
              </w:rPr>
            </w:r>
          </w:p>
        </w:tc>
      </w:tr>
      <w:tr>
        <w:trPr>
          <w:trHeight w:val="432" w:hRule="atLeast"/>
        </w:trPr>
        <w:tc>
          <w:tcPr>
            <w:tcW w:w="7246" w:type="dxa"/>
            <w:tcBorders/>
            <w:shd w:color="auto" w:fill="FFFFFF" w:themeFill="background1" w:val="clear"/>
            <w:tcMar>
              <w:left w:w="108" w:type="dxa"/>
            </w:tcMar>
            <w:vAlign w:val="center"/>
          </w:tcPr>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7245" w:type="dxa"/>
            <w:tcBorders/>
            <w:shd w:color="auto" w:fill="FFFFFF" w:themeFill="background1" w:val="clear"/>
            <w:tcMar>
              <w:left w:w="108" w:type="dxa"/>
            </w:tcMar>
            <w:vAlign w:val="center"/>
          </w:tcPr>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r>
      <w:tr>
        <w:trPr>
          <w:trHeight w:val="404" w:hRule="atLeast"/>
        </w:trPr>
        <w:tc>
          <w:tcPr>
            <w:tcW w:w="14491" w:type="dxa"/>
            <w:gridSpan w:val="2"/>
            <w:tcBorders/>
            <w:shd w:color="auto" w:fill="D9D9D9" w:themeFill="background1" w:themeFillShade="d9" w:val="clear"/>
            <w:tcMar>
              <w:left w:w="108" w:type="dxa"/>
            </w:tcMar>
            <w:vAlign w:val="center"/>
          </w:tcPr>
          <w:p>
            <w:pPr>
              <w:pStyle w:val="NormalWeb"/>
              <w:spacing w:lineRule="auto" w:line="240" w:before="280" w:after="0"/>
              <w:jc w:val="center"/>
              <w:rPr>
                <w:rFonts w:ascii="Times New Roman" w:hAnsi="Times New Roman" w:cs="Calibri" w:cstheme="minorHAnsi"/>
                <w:sz w:val="24"/>
                <w:szCs w:val="24"/>
              </w:rPr>
            </w:pPr>
            <w:bookmarkStart w:id="0" w:name="_GoBack"/>
            <w:bookmarkStart w:id="1" w:name="_GoBack"/>
            <w:bookmarkEnd w:id="1"/>
            <w:r>
              <w:rPr>
                <w:rFonts w:cs="Calibri" w:cstheme="minorHAnsi" w:ascii="Times New Roman" w:hAnsi="Times New Roman"/>
                <w:sz w:val="24"/>
                <w:szCs w:val="24"/>
              </w:rPr>
            </w:r>
          </w:p>
        </w:tc>
      </w:tr>
      <w:tr>
        <w:trPr>
          <w:trHeight w:val="404" w:hRule="atLeast"/>
        </w:trPr>
        <w:tc>
          <w:tcPr>
            <w:tcW w:w="7246" w:type="dxa"/>
            <w:tcBorders/>
            <w:shd w:color="auto" w:fill="FFFFFF" w:themeFill="background1" w:val="clear"/>
            <w:tcMar>
              <w:left w:w="108" w:type="dxa"/>
            </w:tcMar>
            <w:vAlign w:val="center"/>
          </w:tcPr>
          <w:p>
            <w:pPr>
              <w:pStyle w:val="NormalWeb"/>
              <w:spacing w:lineRule="auto" w:line="240" w:before="280" w:after="0"/>
              <w:rPr>
                <w:rFonts w:ascii="Times New Roman" w:hAnsi="Times New Roman"/>
                <w:sz w:val="24"/>
                <w:szCs w:val="24"/>
              </w:rPr>
            </w:pPr>
            <w:r>
              <w:rPr>
                <w:rFonts w:ascii="Times New Roman" w:hAnsi="Times New Roman"/>
                <w:sz w:val="24"/>
                <w:szCs w:val="24"/>
              </w:rPr>
            </w:r>
          </w:p>
        </w:tc>
        <w:tc>
          <w:tcPr>
            <w:tcW w:w="7245" w:type="dxa"/>
            <w:tcBorders/>
            <w:shd w:color="auto" w:fill="FFFFFF" w:themeFill="background1" w:val="clear"/>
            <w:tcMar>
              <w:left w:w="108" w:type="dxa"/>
            </w:tcMar>
            <w:vAlign w:val="center"/>
          </w:tcPr>
          <w:p>
            <w:pPr>
              <w:pStyle w:val="NormalWeb"/>
              <w:spacing w:lineRule="auto" w:line="240" w:before="280" w:after="0"/>
              <w:rPr>
                <w:rFonts w:ascii="Times New Roman" w:hAnsi="Times New Roman"/>
                <w:sz w:val="24"/>
                <w:szCs w:val="24"/>
              </w:rPr>
            </w:pPr>
            <w:r>
              <w:rPr>
                <w:rFonts w:ascii="Times New Roman" w:hAnsi="Times New Roman"/>
                <w:sz w:val="24"/>
                <w:szCs w:val="24"/>
              </w:rPr>
            </w:r>
          </w:p>
        </w:tc>
      </w:tr>
      <w:tr>
        <w:trPr>
          <w:trHeight w:val="404" w:hRule="atLeast"/>
        </w:trPr>
        <w:tc>
          <w:tcPr>
            <w:tcW w:w="14491" w:type="dxa"/>
            <w:gridSpan w:val="2"/>
            <w:tcBorders/>
            <w:shd w:color="auto" w:fill="D9D9D9" w:themeFill="background1" w:themeFillShade="d9" w:val="clear"/>
            <w:tcMar>
              <w:left w:w="108" w:type="dxa"/>
            </w:tcMar>
            <w:vAlign w:val="center"/>
          </w:tcPr>
          <w:p>
            <w:pPr>
              <w:pStyle w:val="NormalWeb"/>
              <w:spacing w:lineRule="auto" w:line="240" w:before="280" w:after="0"/>
              <w:jc w:val="center"/>
              <w:rPr>
                <w:rFonts w:ascii="Calibri" w:hAnsi="Calibri" w:cs="Calibri" w:asciiTheme="minorHAnsi" w:cstheme="minorHAnsi" w:hAnsiTheme="minorHAnsi"/>
                <w:sz w:val="28"/>
              </w:rPr>
            </w:pPr>
            <w:r>
              <w:rPr>
                <w:rFonts w:cs="Calibri" w:ascii="Times New Roman" w:hAnsi="Times New Roman" w:cstheme="minorHAnsi"/>
                <w:sz w:val="24"/>
                <w:szCs w:val="24"/>
              </w:rPr>
              <w:t>Podstawa prawna</w:t>
            </w:r>
          </w:p>
        </w:tc>
      </w:tr>
      <w:tr>
        <w:trPr>
          <w:trHeight w:val="881" w:hRule="atLeast"/>
        </w:trPr>
        <w:tc>
          <w:tcPr>
            <w:tcW w:w="14491" w:type="dxa"/>
            <w:gridSpan w:val="2"/>
            <w:tcBorders/>
            <w:shd w:color="auto" w:fill="FFFFFF" w:themeFill="background1" w:val="clear"/>
            <w:tcMar>
              <w:left w:w="108" w:type="dxa"/>
            </w:tcMar>
            <w:vAlign w:val="center"/>
          </w:tcPr>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Ustawa z dnia 26 października 1982 o wychowaniu w trzeźwości i przeciwdziałaniu alkoholizmowi </w:t>
            </w:r>
          </w:p>
        </w:tc>
      </w:tr>
    </w:tbl>
    <w:p>
      <w:pPr>
        <w:pStyle w:val="Normal"/>
        <w:spacing w:before="0" w:after="0"/>
        <w:rPr>
          <w:rFonts w:cs="Calibri" w:cstheme="minorHAnsi"/>
          <w:sz w:val="28"/>
        </w:rPr>
      </w:pPr>
      <w:r>
        <w:rPr>
          <w:rFonts w:cs="Calibri" w:cstheme="minorHAnsi"/>
          <w:sz w:val="28"/>
        </w:rPr>
      </w:r>
    </w:p>
    <w:p>
      <w:pPr>
        <w:pStyle w:val="Normal"/>
        <w:spacing w:before="0" w:after="0"/>
        <w:rPr>
          <w:rFonts w:cs="Calibri" w:cstheme="minorHAnsi"/>
          <w:sz w:val="28"/>
        </w:rPr>
      </w:pPr>
      <w:r>
        <w:rPr>
          <w:rFonts w:cs="Calibri" w:cstheme="minorHAnsi"/>
          <w:sz w:val="28"/>
        </w:rPr>
      </w:r>
    </w:p>
    <w:p>
      <w:pPr>
        <w:pStyle w:val="Normal"/>
        <w:spacing w:before="0" w:after="0"/>
        <w:rPr>
          <w:rFonts w:cs="Calibri" w:cstheme="minorHAnsi"/>
          <w:sz w:val="28"/>
        </w:rPr>
      </w:pPr>
      <w:r>
        <w:rPr>
          <w:rFonts w:cs="Calibri" w:cstheme="minorHAnsi"/>
          <w:sz w:val="28"/>
        </w:rPr>
        <w:t>Załączniki:</w:t>
      </w:r>
    </w:p>
    <w:p>
      <w:pPr>
        <w:pStyle w:val="Normal"/>
        <w:ind w:firstLine="708"/>
        <w:rPr/>
      </w:pPr>
      <w:r>
        <w:rPr>
          <w:rFonts w:cs="Calibri" w:cstheme="minorHAnsi"/>
          <w:sz w:val="28"/>
        </w:rPr>
        <w:t xml:space="preserve">Wzory wniosków stanowiące podstawę do wszczęcia sprawy w Urzędzie </w:t>
      </w:r>
      <w:r>
        <w:rPr>
          <w:rFonts w:cs="Calibri" w:cstheme="minorHAnsi"/>
          <w:i/>
          <w:sz w:val="28"/>
        </w:rPr>
        <w:t>(w wersji edytowalnej)</w:t>
      </w:r>
    </w:p>
    <w:sectPr>
      <w:headerReference w:type="default" r:id="rId2"/>
      <w:type w:val="nextPage"/>
      <w:pgSz w:orient="landscape" w:w="16838" w:h="11906"/>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b/>
        <w:b/>
        <w:sz w:val="24"/>
      </w:rPr>
    </w:pPr>
    <w:r>
      <w:rPr>
        <w:b/>
        <w:sz w:val="24"/>
      </w:rPr>
      <w:t>Formularz opisu świadczonej usługi</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86509"/>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3e6d10"/>
    <w:rPr/>
  </w:style>
  <w:style w:type="character" w:styleId="StopkaZnak" w:customStyle="1">
    <w:name w:val="Stopka Znak"/>
    <w:basedOn w:val="DefaultParagraphFont"/>
    <w:link w:val="Stopka"/>
    <w:uiPriority w:val="99"/>
    <w:qFormat/>
    <w:rsid w:val="003e6d10"/>
    <w:rPr/>
  </w:style>
  <w:style w:type="character" w:styleId="Czeinternetowe">
    <w:name w:val="Łącze internetowe"/>
    <w:basedOn w:val="DefaultParagraphFont"/>
    <w:uiPriority w:val="99"/>
    <w:semiHidden/>
    <w:unhideWhenUsed/>
    <w:rsid w:val="00c94aca"/>
    <w:rPr>
      <w:color w:val="0000FF"/>
      <w:u w:val="single"/>
    </w:rPr>
  </w:style>
  <w:style w:type="character" w:styleId="Strong">
    <w:name w:val="Strong"/>
    <w:basedOn w:val="DefaultParagraphFont"/>
    <w:uiPriority w:val="22"/>
    <w:qFormat/>
    <w:rsid w:val="00c94aca"/>
    <w:rPr>
      <w:b/>
      <w:bCs/>
    </w:rPr>
  </w:style>
  <w:style w:type="character" w:styleId="TekstdymkaZnak" w:customStyle="1">
    <w:name w:val="Tekst dymka Znak"/>
    <w:basedOn w:val="DefaultParagraphFont"/>
    <w:link w:val="Tekstdymka"/>
    <w:uiPriority w:val="99"/>
    <w:semiHidden/>
    <w:qFormat/>
    <w:rsid w:val="00f616e1"/>
    <w:rPr>
      <w:rFonts w:ascii="Segoe UI" w:hAnsi="Segoe UI" w:cs="Segoe UI"/>
      <w:sz w:val="18"/>
      <w:szCs w:val="18"/>
    </w:rPr>
  </w:style>
  <w:style w:type="character" w:styleId="ListLabel1">
    <w:name w:val="ListLabel 1"/>
    <w:qFormat/>
    <w:rPr>
      <w:sz w:val="20"/>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Główka"/>
    <w:basedOn w:val="Normal"/>
    <w:link w:val="NagwekZnak"/>
    <w:uiPriority w:val="99"/>
    <w:unhideWhenUsed/>
    <w:rsid w:val="003e6d10"/>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3e6d10"/>
    <w:pPr>
      <w:tabs>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c94aca"/>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f616e1"/>
    <w:pPr>
      <w:spacing w:lineRule="auto" w:line="240" w:before="0" w:after="0"/>
    </w:pPr>
    <w:rPr>
      <w:rFonts w:ascii="Segoe UI" w:hAnsi="Segoe UI" w:cs="Segoe UI"/>
      <w:sz w:val="18"/>
      <w:szCs w:val="18"/>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3e6d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LibreOffice/4.4.5.2$Windows_x86 LibreOffice_project/a22f674fd25a3b6f45bdebf25400ed2adff0ff99</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2021-03-09T13:17:00Z</dcterms:created>
  <dc:creator>Michał MK. Kociński</dc:creator>
  <dc:language>pl-PL</dc:language>
  <cp:lastPrinted>2021-03-09T13:01:00Z</cp:lastPrinted>
  <dcterms:modified xsi:type="dcterms:W3CDTF">2021-04-01T15:41:09Z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